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Aerospace Engineer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Aerospace Engineer Responsibilities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Provide technical leadership to coordinate implementation of advanced quality processes including statistically based variation reduction, control planning, mistake proofing, and Manufacturing Process Control.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Evaluate prospective supplier quality systems and conduct gap analysis where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Evaluate procedures for compliance to contractual and regulatory requirements (including international regulation coordination issues).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Prepare and present metrics associated with quality trends and related improvements within the supply 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Prepare progress reports, program reviews as needed, to assure the highest quality and cost effectiveness from the suppliers.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Train associates, suppliers, and contract personnel in Six Sigma techniques, Manufacturing Process Control, variation reduction,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Perform other duties as assigned.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You will be responsible for quality assurance processes including, but not limited to, First Article Inspection Requirements (FAIR), Self-Release and product audits, as well as coordination of Quality System (AS 9100) compliance audits and special process oversight.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Responsible for training and deployment of the Manufacturing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Control, variation reduction, quality requirement compliance, Six Sigma, and other Honeywell sponsored supplier initiatives.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720" w:firstLine="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Aerospace Engineer Requirements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Bachelor's degree in engineering or equivalent experience with 5 years of experience in manufacturing/assembly operations, quality engineering (design or manufacturing), and materials/procurement; preferably in aerospace electronics.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Experience in Supplier Quality as a field representative performing various audits.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Experience with QA systems such as AS9100, ISO, Conducting Audits, and Corrective Actions.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Experience with use of NetInspect.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Ability to interact with all levels of supplier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Proven track record with supplier oversight.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Experience in leading teams focused on problem solving and improvements.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Good communication skills with the ability to provide a clear vision of the strategy and processes for key stakeholders.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High level of analytical ability to identify and evaluate appropriate courses of action for definition and resolution of complex problems.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3 years of experience working with suppliers preferred.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Certified Green Belt or equivalent; Lean Expert or Black Belt preferred.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Experience with Automotive or Aerospace products preferred.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Additional experience or training in RCCA, Process Mapping, FMEAs and Control Plans or APQP/PPAP preferred.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firstLine="0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AMUW2mXmTjP0eSgcaU4DCNGtVWm9VktQu5xbnz5gPNucFi0M15q+MH0Dgu/+rYPOERbFlwk3VwSGdIIdBikFdF+quFrZgny0sqCq/Gkx6wrT+X0vp5cNcJo=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